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nos" w:hAnsi="Tinos" w:cs="Tinos"/>
          <w:b w:val="0"/>
          <w:bCs w:val="0"/>
          <w:sz w:val="26"/>
          <w:szCs w:val="26"/>
          <w:highlight w:val="none"/>
        </w:rPr>
      </w:pP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Eдиновременная денежная  выплата ЖЕНЩИНАМ, родившим ПЕРВОГО ребенка в возрасте  от  18 до 25 (включительно) лет</w:t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2"/>
                <w:szCs w:val="22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П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остановление Правительства Самарской области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от 18.12.2023 г.    № 1060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 «Об установлении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0"/>
                <w:szCs w:val="20"/>
              </w:rPr>
              <w:t xml:space="preserve">отдельных расходных обязательств Самарской области в сфере развития социальной защиты населения в Самарской области и утверждении порядков (положений) о предоставлении (назначении) отдельных видов социальных выплат»</w:t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</w:rPr>
              <w:t xml:space="preserve"> Приказ министерства социально демографической и семейной политики Самарской области от 05.11.2024 № 821 «Об утверждении Порядка предоставления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единовременной денежной  выплаты  женщинам, родившим первого  ребенка в возрасте  от  18 до 25 (включительно) лет»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   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Приказ министерства  от 16.04.2025 №220 «Об утверждении Административного регламента по предоставлению государственной услуги «Предоставление 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е</w:t>
            </w:r>
            <w:r>
              <w:rPr>
                <w:rFonts w:ascii="Tinos" w:hAnsi="Tinos" w:eastAsia="Tinos" w:cs="Tinos"/>
                <w:b w:val="0"/>
                <w:bCs w:val="0"/>
                <w:sz w:val="20"/>
                <w:szCs w:val="20"/>
                <w:highlight w:val="none"/>
              </w:rPr>
              <w:t xml:space="preserve">диновременной  денежной   выплаты женщинам, родившим первого ребенка в возрасте  от  18 до 25 (включительно) лет»</w:t>
            </w:r>
            <w:r>
              <w:rPr>
                <w:sz w:val="20"/>
                <w:szCs w:val="20"/>
              </w:rPr>
            </w:r>
            <w:r>
              <w:rPr>
                <w:rFonts w:ascii="Tinos" w:hAnsi="Tinos" w:cs="Tinos"/>
                <w:b w:val="0"/>
                <w:bCs w:val="0"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100 000 рублей при условии обращения за её назначением не позднее одного года со дня рождения первого ребенка.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Право на выплату имеют полностью дееспособные женщины, имеющие гражданство Российской Федерации и место жительства (пребывания) на территории Самарской области,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родившие первого ребенка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в возрасте       от  18 до 25 (включительно) лет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начиная с 01.09.2024.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</w:tr>
      <w:tr>
        <w:tblPrEx/>
        <w:trPr>
          <w:trHeight w:val="229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Лично, либо через социальный портал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c  сайта министерства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https://minsocdem.samregion.ru/portal/statement/create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Сведения со знаком «*» заявитель предоставляет самостоятельно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в течение 5 рабочих дней после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firstLine="0"/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4"/>
                <w:szCs w:val="24"/>
                <w:highlight w:val="none"/>
              </w:rPr>
              <w:t xml:space="preserve">        *1.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Документ (сведения), удостоверяющие личность заявителя;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2.Сведения о рождении ребенка и наличии у него гражданства РФ;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        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сведения о  рождении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ребенка в случае регис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т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рации записи соответствующего акта компетентным органом иностранного государства и наличием у него гражданства Российской Федерации.  К документам, оформленным на иностранных языках, должны быть приложены их нотариально заверенные переводы на русский язык;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3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.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  <w:t xml:space="preserve">Сведения о регистрации по месту жительства  или пребывания  на территории Самарской области заявителя;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cs="Tinos"/>
                <w:sz w:val="24"/>
                <w:szCs w:val="24"/>
              </w:rPr>
              <w:t xml:space="preserve">       </w:t>
            </w:r>
            <w:r>
              <w:rPr>
                <w:rFonts w:ascii="Tinos" w:hAnsi="Tinos" w:cs="Tinos"/>
                <w:sz w:val="24"/>
                <w:szCs w:val="24"/>
              </w:rPr>
              <w:t xml:space="preserve">  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  <w:t xml:space="preserve"> *</w:t>
            </w:r>
            <w:r>
              <w:rPr>
                <w:rFonts w:ascii="Tinos" w:hAnsi="Tinos" w:cs="Tino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  <w:t xml:space="preserve">в случае отсутствия регистрации по месту жительства или пребывания на территории Самарской области - иные документы, подтверждающие фактическое пребывание (прожив</w:t>
            </w:r>
            <w:r>
              <w:rPr>
                <w:rFonts w:ascii="Tinos" w:hAnsi="Tinos" w:cs="Tinos"/>
                <w:sz w:val="24"/>
                <w:szCs w:val="24"/>
              </w:rPr>
              <w:t xml:space="preserve">ан</w:t>
            </w:r>
            <w:r>
              <w:rPr>
                <w:rFonts w:ascii="Tinos" w:hAnsi="Tinos" w:cs="Tinos"/>
                <w:sz w:val="24"/>
                <w:szCs w:val="24"/>
              </w:rPr>
              <w:t xml:space="preserve">ие) на террит</w:t>
            </w:r>
            <w:r>
              <w:rPr>
                <w:rFonts w:ascii="Tinos" w:hAnsi="Tinos" w:cs="Tinos"/>
                <w:sz w:val="24"/>
                <w:szCs w:val="24"/>
              </w:rPr>
              <w:t xml:space="preserve">ории Самарской области: решение суда об установлении факта проживания на территории Самарской области, договор найма жилого помещения, договор безвозмездного  пользования жилым помещением, заключенные в соответствии с нормами действующего законодательства;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4. СНИЛС заявителя и ребенка;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5. Сведения об отсутствии факта лишения (огр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аничения, восстановления) родительских прав, об отмене ограничения родительских прав, отобрания ребенка при непосредственной угрозе его жизни или здоровью, об установлении над ребенком опеки (попечительства),передача ребенка на воспитание в приемную семью (с СФР);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ff0000"/>
                <w:sz w:val="24"/>
                <w:szCs w:val="24"/>
                <w:highlight w:val="none"/>
                <w:u w:val="single"/>
              </w:rPr>
            </w:pPr>
            <w:r>
              <w:rPr>
                <w:rFonts w:ascii="Tinos" w:hAnsi="Tinos" w:cs="Tinos"/>
                <w:sz w:val="24"/>
                <w:szCs w:val="24"/>
                <w:highlight w:val="none"/>
              </w:rPr>
              <w:t xml:space="preserve">6. Сведения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о не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на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хождении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ребенка</w:t>
            </w:r>
            <w:r>
              <w:rPr>
                <w:rFonts w:ascii="Tinos" w:hAnsi="Tinos" w:eastAsia="Tinos" w:cs="Tinos"/>
                <w:sz w:val="24"/>
                <w:szCs w:val="24"/>
                <w:u w:val="none"/>
              </w:rPr>
              <w:t xml:space="preserve"> на полном государственном обеспечении; </w:t>
            </w:r>
            <w:r>
              <w:rPr>
                <w:rFonts w:ascii="Tinos" w:hAnsi="Tinos" w:cs="Tinos"/>
                <w:color w:val="ff0000"/>
                <w:sz w:val="24"/>
                <w:szCs w:val="24"/>
                <w:highlight w:val="none"/>
                <w:u w:val="single"/>
              </w:rPr>
            </w:r>
            <w:r>
              <w:rPr>
                <w:rFonts w:ascii="Tinos" w:hAnsi="Tinos" w:cs="Tinos"/>
                <w:color w:val="ff0000"/>
                <w:sz w:val="24"/>
                <w:szCs w:val="24"/>
                <w:highlight w:val="none"/>
                <w:u w:val="single"/>
              </w:rPr>
            </w:r>
          </w:p>
          <w:p>
            <w:pPr>
              <w:ind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u w:val="singl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u w:val="none"/>
              </w:rPr>
              <w:t xml:space="preserve">7. С</w:t>
            </w: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u w:val="none"/>
              </w:rPr>
              <w:t xml:space="preserve">ведения о нахождении  ребенка в организации для детей-сирот и детей оставшихся без попечения родителей;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highlight w:val="none"/>
                <w:u w:val="single"/>
              </w:rPr>
            </w:r>
          </w:p>
          <w:p>
            <w:pPr>
              <w:ind w:firstLine="0"/>
              <w:jc w:val="both"/>
              <w:spacing w:after="0" w:line="240" w:lineRule="auto"/>
              <w:shd w:val="clear" w:color="auto" w:fill="ffffff"/>
              <w:rPr>
                <w:rFonts w:ascii="Tinos" w:hAnsi="Tinos" w:cs="Tinos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nos" w:hAnsi="Tinos" w:eastAsia="Tinos" w:cs="Tinos"/>
                <w:color w:val="000000" w:themeColor="text1"/>
                <w:sz w:val="24"/>
                <w:szCs w:val="24"/>
                <w:highlight w:val="none"/>
                <w:u w:val="none"/>
              </w:rPr>
              <w:t xml:space="preserve">8. Сведения о постановке ребенка на учет как ребенка, оставшегося без попечения родителей;</w:t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u w:val="single"/>
              </w:rPr>
            </w:r>
            <w:r>
              <w:rPr>
                <w:rFonts w:ascii="Tinos" w:hAnsi="Tinos" w:cs="Tinos"/>
                <w:color w:val="000000" w:themeColor="text1"/>
                <w:sz w:val="24"/>
                <w:szCs w:val="24"/>
                <w:u w:val="singl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9. Сведения о неполучении заявителем такой же выплаты в другом субъекте Российской Федерации.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</w:p>
          <w:p>
            <w:pPr>
              <w:pStyle w:val="858"/>
              <w:ind w:left="0" w:firstLine="0"/>
              <w:jc w:val="both"/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pP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  <w:t xml:space="preserve">Формируется ЭЛЕКТРОННОЕ дело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  <w:u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Способ получения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pStyle w:val="852"/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с учетом выбора гражданина: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на счет, открытый в кредитной организации, или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через отделения почтовой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 связи по месту жительства 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eastAsia="Tinos" w:cs="Tinos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sz w:val="24"/>
                <w:szCs w:val="24"/>
              </w:rPr>
              <w:t xml:space="preserve">Не позднее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второго рабочего дня </w:t>
            </w:r>
            <w:r>
              <w:rPr>
                <w:rFonts w:ascii="Tinos" w:hAnsi="Tinos" w:eastAsia="Tinos" w:cs="Tinos"/>
                <w:b/>
                <w:bCs/>
                <w:sz w:val="24"/>
                <w:szCs w:val="24"/>
              </w:rPr>
              <w:t xml:space="preserve"> со дня получения ВСЕХ </w:t>
            </w:r>
            <w:r>
              <w:rPr>
                <w:rFonts w:ascii="Tinos" w:hAnsi="Tinos" w:eastAsia="Tinos" w:cs="Tinos"/>
                <w:sz w:val="24"/>
                <w:szCs w:val="24"/>
              </w:rPr>
              <w:t xml:space="preserve">необходимых документов. </w:t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Максимальный срок - 30 дней со дня регистрации заявления с документами, которые заявитель обязан предоставить самостоятельно.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с. Большая Глушица, ул. Гагарина, д.27, каб. 7,15, тел. 8(846 73)  2-13-08, 2-13-07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13</cp:revision>
  <dcterms:modified xsi:type="dcterms:W3CDTF">2025-07-21T09:17:22Z</dcterms:modified>
</cp:coreProperties>
</file>