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B" w:rsidRPr="00FC74AC" w:rsidRDefault="00E474DB" w:rsidP="00CB7D4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p w:rsidR="00E474DB" w:rsidRPr="00F70522" w:rsidRDefault="00E474DB" w:rsidP="00E474DB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E474DB" w:rsidRPr="00FC74AC" w:rsidRDefault="00E474DB" w:rsidP="00E474DB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апреля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74DB" w:rsidRPr="006216A9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28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02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141, от 28.02.2024 г. №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142.</w:t>
      </w:r>
    </w:p>
    <w:p w:rsidR="00E474DB" w:rsidRPr="00F70522" w:rsidRDefault="00E474DB" w:rsidP="00E474DB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8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E474DB" w:rsidRDefault="00E474DB" w:rsidP="00E474DB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E474DB" w:rsidRPr="00C06AB7" w:rsidRDefault="00E474DB" w:rsidP="00E474DB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FC74AC">
        <w:rPr>
          <w:rFonts w:ascii="Times New Roman" w:hAnsi="Times New Roman" w:cs="Times New Roman"/>
          <w:sz w:val="25"/>
          <w:szCs w:val="25"/>
        </w:rPr>
        <w:t xml:space="preserve">Право заключения договора аренды земельного участка из земель </w:t>
      </w:r>
      <w:r>
        <w:rPr>
          <w:rFonts w:ascii="Times New Roman" w:hAnsi="Times New Roman" w:cs="Times New Roman"/>
          <w:sz w:val="25"/>
          <w:szCs w:val="25"/>
        </w:rPr>
        <w:t>сельскохозяйственного назначения для сельскохозяйственного производства</w:t>
      </w:r>
      <w:r w:rsidRPr="00FC74AC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Pr="00FC74AC">
        <w:rPr>
          <w:rFonts w:ascii="Times New Roman" w:hAnsi="Times New Roman" w:cs="Times New Roman"/>
          <w:sz w:val="25"/>
          <w:szCs w:val="25"/>
        </w:rPr>
        <w:t xml:space="preserve">Самарская область, </w:t>
      </w:r>
      <w:r>
        <w:rPr>
          <w:rFonts w:ascii="Times New Roman" w:hAnsi="Times New Roman" w:cs="Times New Roman"/>
          <w:sz w:val="25"/>
          <w:szCs w:val="25"/>
        </w:rPr>
        <w:t xml:space="preserve">муниципальный район </w:t>
      </w:r>
      <w:r w:rsidRPr="00FC74AC">
        <w:rPr>
          <w:rFonts w:ascii="Times New Roman" w:hAnsi="Times New Roman" w:cs="Times New Roman"/>
          <w:sz w:val="25"/>
          <w:szCs w:val="25"/>
        </w:rPr>
        <w:t>Большеглушицкий</w:t>
      </w:r>
      <w:r w:rsidRPr="00C06AB7"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>ельское поселение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Большая </w:t>
      </w:r>
      <w:r w:rsidRPr="00C06AB7">
        <w:rPr>
          <w:rFonts w:ascii="Times New Roman" w:hAnsi="Times New Roman" w:cs="Times New Roman"/>
          <w:sz w:val="25"/>
          <w:szCs w:val="25"/>
        </w:rPr>
        <w:t xml:space="preserve">Глушица, </w:t>
      </w:r>
      <w:r>
        <w:rPr>
          <w:rFonts w:ascii="Times New Roman" w:hAnsi="Times New Roman" w:cs="Times New Roman"/>
          <w:sz w:val="25"/>
          <w:szCs w:val="25"/>
        </w:rPr>
        <w:t>земельный участок 6314/052,</w:t>
      </w:r>
      <w:r w:rsidRPr="00C06AB7">
        <w:rPr>
          <w:rFonts w:ascii="Times New Roman" w:hAnsi="Times New Roman" w:cs="Times New Roman"/>
          <w:sz w:val="25"/>
          <w:szCs w:val="25"/>
        </w:rPr>
        <w:t xml:space="preserve"> площадью </w:t>
      </w:r>
      <w:r>
        <w:rPr>
          <w:rFonts w:ascii="Times New Roman" w:hAnsi="Times New Roman" w:cs="Times New Roman"/>
          <w:sz w:val="25"/>
          <w:szCs w:val="25"/>
        </w:rPr>
        <w:t>353000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</w:t>
      </w:r>
      <w:r>
        <w:rPr>
          <w:rFonts w:ascii="Times New Roman" w:hAnsi="Times New Roman" w:cs="Times New Roman"/>
          <w:sz w:val="25"/>
          <w:szCs w:val="25"/>
        </w:rPr>
        <w:t>1205002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220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E474DB" w:rsidRPr="006216A9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E474DB" w:rsidRPr="00CE4CDF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0" w:name="_Hlk129782585"/>
      <w:r>
        <w:rPr>
          <w:rFonts w:ascii="Times New Roman" w:eastAsia="Calibri" w:hAnsi="Times New Roman" w:cs="Times New Roman"/>
          <w:sz w:val="25"/>
          <w:szCs w:val="25"/>
        </w:rPr>
        <w:t>18356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Восемнадцать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 xml:space="preserve"> триста пятьдесят шесть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E474DB" w:rsidRPr="00FC74AC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 w:rsidRPr="00FC74AC">
        <w:rPr>
          <w:rFonts w:ascii="Times New Roman" w:eastAsia="Calibri" w:hAnsi="Times New Roman" w:cs="Times New Roman"/>
          <w:sz w:val="25"/>
          <w:szCs w:val="25"/>
        </w:rPr>
        <w:t>1</w:t>
      </w:r>
      <w:r>
        <w:rPr>
          <w:rFonts w:ascii="Times New Roman" w:eastAsia="Calibri" w:hAnsi="Times New Roman" w:cs="Times New Roman"/>
          <w:sz w:val="25"/>
          <w:szCs w:val="25"/>
        </w:rPr>
        <w:t>8356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Восемнадцать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>триста пятьдесят шесть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FC74A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>0 коп.).</w:t>
      </w:r>
    </w:p>
    <w:bookmarkEnd w:id="0"/>
    <w:p w:rsidR="00E474DB" w:rsidRDefault="00E474DB" w:rsidP="00E474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550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68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Пятьсот пятьдесят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68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E474DB" w:rsidRDefault="00E474DB" w:rsidP="00E474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E474DB" w:rsidRPr="00C06AB7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FC74AC">
        <w:rPr>
          <w:rFonts w:ascii="Times New Roman" w:hAnsi="Times New Roman" w:cs="Times New Roman"/>
          <w:sz w:val="25"/>
          <w:szCs w:val="25"/>
        </w:rPr>
        <w:t xml:space="preserve">Право заключения договора аренды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благоустройство территории</w:t>
      </w:r>
      <w:r w:rsidRPr="00FC74AC">
        <w:rPr>
          <w:rFonts w:ascii="Times New Roman" w:hAnsi="Times New Roman" w:cs="Times New Roman"/>
          <w:sz w:val="25"/>
          <w:szCs w:val="25"/>
        </w:rPr>
        <w:t xml:space="preserve">, расположенного по адресу: Самарская область, </w:t>
      </w:r>
      <w:r>
        <w:rPr>
          <w:rFonts w:ascii="Times New Roman" w:hAnsi="Times New Roman" w:cs="Times New Roman"/>
          <w:sz w:val="25"/>
          <w:szCs w:val="25"/>
        </w:rPr>
        <w:t xml:space="preserve">муниципальный район </w:t>
      </w:r>
      <w:r w:rsidRPr="00FC74AC">
        <w:rPr>
          <w:rFonts w:ascii="Times New Roman" w:hAnsi="Times New Roman" w:cs="Times New Roman"/>
          <w:sz w:val="25"/>
          <w:szCs w:val="25"/>
        </w:rPr>
        <w:t>Большеглушицкий</w:t>
      </w:r>
      <w:r w:rsidRPr="00C06AB7"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>ельское поселение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Большая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 Глушица, </w:t>
      </w:r>
      <w:r>
        <w:rPr>
          <w:rFonts w:ascii="Times New Roman" w:hAnsi="Times New Roman" w:cs="Times New Roman"/>
          <w:sz w:val="25"/>
          <w:szCs w:val="25"/>
        </w:rPr>
        <w:t xml:space="preserve">село Большая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Юбилейная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2а,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площадью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</w:t>
      </w:r>
      <w:r>
        <w:rPr>
          <w:rFonts w:ascii="Times New Roman" w:hAnsi="Times New Roman" w:cs="Times New Roman"/>
          <w:sz w:val="25"/>
          <w:szCs w:val="25"/>
        </w:rPr>
        <w:t>902032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757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E474DB" w:rsidRPr="006216A9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E474DB" w:rsidRPr="00CE4CDF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5000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Пять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E474DB" w:rsidRPr="00CE4CDF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eastAsia="Calibri" w:hAnsi="Times New Roman" w:cs="Times New Roman"/>
          <w:sz w:val="25"/>
          <w:szCs w:val="25"/>
        </w:rPr>
        <w:t>5000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Пять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E474DB" w:rsidRDefault="00E474DB" w:rsidP="00E474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150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Сто пятьдесят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E474DB" w:rsidRPr="00FC74AC" w:rsidRDefault="00E474DB" w:rsidP="00E474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sz w:val="25"/>
          <w:szCs w:val="25"/>
        </w:rPr>
        <w:t>25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двадцать пять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E474DB" w:rsidRDefault="00E474DB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FC74AC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03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E474DB" w:rsidRDefault="00E474DB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19.04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0D4636" w:rsidRPr="00F70522" w:rsidRDefault="000D4636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</w:p>
    <w:p w:rsidR="00E474DB" w:rsidRPr="00F70522" w:rsidRDefault="00E474DB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lastRenderedPageBreak/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E474DB" w:rsidRPr="00F70522" w:rsidRDefault="00E474DB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24.04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E474DB" w:rsidRPr="00F70522" w:rsidRDefault="00E474DB" w:rsidP="00E474DB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9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E474DB" w:rsidRPr="00F70522" w:rsidRDefault="00E474DB" w:rsidP="00E474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E474DB" w:rsidRPr="00F70522" w:rsidRDefault="00E474DB" w:rsidP="00E474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E474DB" w:rsidRPr="00F70522" w:rsidRDefault="00E474DB" w:rsidP="00E474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E474DB" w:rsidRPr="00F70522" w:rsidRDefault="00E474DB" w:rsidP="00E474DB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E474DB" w:rsidRPr="00F70522" w:rsidRDefault="00E474DB" w:rsidP="00E474DB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E474DB" w:rsidRPr="00F70522" w:rsidRDefault="00E474DB" w:rsidP="00E474D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474DB" w:rsidRPr="00F70522" w:rsidRDefault="00E474DB" w:rsidP="00E474D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474DB" w:rsidRDefault="00E474DB" w:rsidP="00E474D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474DB" w:rsidRPr="008162EF" w:rsidRDefault="00E474DB" w:rsidP="00E474DB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E474DB" w:rsidRPr="008162EF" w:rsidRDefault="00E474DB" w:rsidP="00E474DB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474DB" w:rsidRPr="008162EF" w:rsidRDefault="00E474DB" w:rsidP="00E474DB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E474DB" w:rsidRPr="00F70522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E474DB" w:rsidRPr="00F70522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E474DB" w:rsidRPr="00535AA4" w:rsidRDefault="00E474DB" w:rsidP="00E474D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19 апреля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4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E474DB" w:rsidRPr="00F70522" w:rsidRDefault="00E474DB" w:rsidP="00E474DB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E474DB" w:rsidRPr="00F70522" w:rsidRDefault="00E474DB" w:rsidP="00E474DB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474DB" w:rsidRPr="008162EF" w:rsidRDefault="00E474DB" w:rsidP="00E474DB">
      <w:pPr>
        <w:pStyle w:val="western"/>
        <w:spacing w:after="0"/>
        <w:ind w:left="-567" w:hanging="567"/>
        <w:jc w:val="both"/>
        <w:rPr>
          <w:color w:val="auto"/>
          <w:sz w:val="25"/>
          <w:szCs w:val="25"/>
        </w:rPr>
      </w:pPr>
      <w:r w:rsidRPr="008162EF">
        <w:rPr>
          <w:color w:val="auto"/>
          <w:sz w:val="25"/>
          <w:szCs w:val="25"/>
        </w:rPr>
        <w:t xml:space="preserve">                  </w:t>
      </w:r>
      <w:proofErr w:type="gramStart"/>
      <w:r w:rsidRPr="008162EF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Pr="008162EF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E474DB" w:rsidRPr="00F70522" w:rsidRDefault="00E474DB" w:rsidP="00E474D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E474DB" w:rsidRPr="00F70522" w:rsidRDefault="00E474DB" w:rsidP="00E474D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E474DB" w:rsidRPr="00F70522" w:rsidRDefault="00E474DB" w:rsidP="00E474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0D4636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</w:t>
      </w:r>
    </w:p>
    <w:p w:rsidR="000D4636" w:rsidRDefault="000D4636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E474DB" w:rsidRDefault="00E474DB" w:rsidP="000D463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(далее – подача предложений о цене).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E474DB" w:rsidRPr="00F70522" w:rsidRDefault="00E474DB" w:rsidP="00E474D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E474DB" w:rsidRPr="00F70522" w:rsidRDefault="00E474DB" w:rsidP="00E474DB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E474DB" w:rsidRPr="00F70522" w:rsidRDefault="00E474DB" w:rsidP="00E474DB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электронный аукцион признан несостоявшимся, либо протокола о результатах электронного аукциона в ГИС Торги.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E474DB" w:rsidRDefault="00E474DB" w:rsidP="00E474DB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9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AB7E01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2D1A7D">
        <w:rPr>
          <w:rFonts w:ascii="Times New Roman" w:hAnsi="Times New Roman" w:cs="Times New Roman"/>
          <w:sz w:val="25"/>
          <w:szCs w:val="25"/>
        </w:rPr>
        <w:t>аренды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20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1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2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E16FAE">
        <w:rPr>
          <w:rFonts w:ascii="Times New Roman" w:hAnsi="Times New Roman" w:cs="Times New Roman"/>
          <w:color w:val="000000"/>
        </w:rPr>
        <w:t>на право заключения договора аренды</w:t>
      </w:r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4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5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купли-продажи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4636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</w:t>
      </w:r>
      <w:proofErr w:type="gramStart"/>
      <w:r w:rsidRPr="00427039">
        <w:rPr>
          <w:rFonts w:ascii="Times New Roman" w:hAnsi="Times New Roman" w:cs="Times New Roman"/>
          <w:color w:val="000000"/>
        </w:rPr>
        <w:t>к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</w:t>
      </w:r>
    </w:p>
    <w:p w:rsidR="000D4636" w:rsidRDefault="000D4636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0D4636">
      <w:pPr>
        <w:tabs>
          <w:tab w:val="left" w:pos="0"/>
          <w:tab w:val="left" w:pos="851"/>
        </w:tabs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lastRenderedPageBreak/>
        <w:t xml:space="preserve">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5F" w:rsidRPr="000A1B5F" w:rsidRDefault="000A1B5F" w:rsidP="000A1B5F">
      <w:pPr>
        <w:pStyle w:val="ac"/>
        <w:rPr>
          <w:sz w:val="26"/>
          <w:szCs w:val="26"/>
        </w:rPr>
      </w:pPr>
      <w:r w:rsidRPr="000A1B5F">
        <w:rPr>
          <w:sz w:val="26"/>
          <w:szCs w:val="26"/>
        </w:rPr>
        <w:t>ПРОЕКТ ДОГОВОРА №</w:t>
      </w:r>
    </w:p>
    <w:p w:rsidR="000A1B5F" w:rsidRPr="000A1B5F" w:rsidRDefault="000A1B5F" w:rsidP="000A1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</w:p>
    <w:p w:rsidR="000A1B5F" w:rsidRPr="000A1B5F" w:rsidRDefault="000A1B5F" w:rsidP="000A1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село Большая Глушица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«____»______________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Две тысячи ______________  года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Мы, нижеподписавшиеся: 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района Большеглушицкий Самарской области Российской Федерации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 лице главы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Анцинова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зарегистрированного 21.05.2015 года № </w:t>
      </w:r>
      <w:r w:rsidRPr="000A1B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A1B5F">
        <w:rPr>
          <w:rFonts w:ascii="Times New Roman" w:hAnsi="Times New Roman" w:cs="Times New Roman"/>
          <w:sz w:val="26"/>
          <w:szCs w:val="26"/>
        </w:rPr>
        <w:t xml:space="preserve"> 635040002015001 Управлением Министерства юстиции Российской Федерации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0A1B5F">
        <w:rPr>
          <w:rFonts w:ascii="Times New Roman" w:hAnsi="Times New Roman" w:cs="Times New Roman"/>
          <w:b/>
          <w:sz w:val="26"/>
          <w:szCs w:val="26"/>
        </w:rPr>
        <w:t>ХХХ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Pr="000A1B5F">
        <w:rPr>
          <w:rFonts w:ascii="Times New Roman" w:hAnsi="Times New Roman" w:cs="Times New Roman"/>
          <w:sz w:val="26"/>
          <w:szCs w:val="26"/>
        </w:rPr>
        <w:t>Арендодатель сдал, а Арендатор принял в пользование на условиях аренды  сроком на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 ____ (______) 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., расположенный по адресу: Самарская область, Большеглушицкий район, __________________, предназначенный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_____________________ (в дальнейшем именуемый Участок).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АРЕНДНАЯ ПЛАТА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2.1</w:t>
      </w:r>
      <w:r w:rsidRPr="000A1B5F"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за Участок составляет _________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руб. (__________  рублей  _____ коп.)</w:t>
      </w:r>
      <w:r w:rsidRPr="000A1B5F">
        <w:rPr>
          <w:rFonts w:ascii="Times New Roman" w:hAnsi="Times New Roman" w:cs="Times New Roman"/>
          <w:sz w:val="26"/>
          <w:szCs w:val="26"/>
        </w:rPr>
        <w:t xml:space="preserve"> НДС  не предусмотрен.</w:t>
      </w:r>
    </w:p>
    <w:p w:rsidR="000A1B5F" w:rsidRPr="000A1B5F" w:rsidRDefault="000A1B5F" w:rsidP="000A1B5F">
      <w:pPr>
        <w:pStyle w:val="2"/>
        <w:spacing w:line="240" w:lineRule="auto"/>
        <w:ind w:left="-709" w:firstLine="374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2.2 Внесенный Арендатором задаток в размере _________</w:t>
      </w:r>
      <w:r w:rsidRPr="000A1B5F">
        <w:rPr>
          <w:rFonts w:ascii="Times New Roman" w:hAnsi="Times New Roman" w:cs="Times New Roman"/>
          <w:i/>
          <w:sz w:val="26"/>
          <w:szCs w:val="26"/>
        </w:rPr>
        <w:t xml:space="preserve"> руб. (_________ рублей ___ коп.) </w:t>
      </w:r>
      <w:r w:rsidRPr="000A1B5F">
        <w:rPr>
          <w:rFonts w:ascii="Times New Roman" w:hAnsi="Times New Roman" w:cs="Times New Roman"/>
          <w:sz w:val="26"/>
          <w:szCs w:val="26"/>
        </w:rPr>
        <w:t>засчитывается в счет арендной платы, указанной в пункте 2.1 настоящего Договора.</w:t>
      </w:r>
    </w:p>
    <w:p w:rsidR="000A1B5F" w:rsidRPr="000A1B5F" w:rsidRDefault="000A1B5F" w:rsidP="000A1B5F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26" w:history="1">
        <w:r w:rsidRPr="000A1B5F">
          <w:rPr>
            <w:rFonts w:ascii="Times New Roman" w:hAnsi="Times New Roman" w:cs="Times New Roman"/>
            <w:sz w:val="26"/>
            <w:szCs w:val="26"/>
          </w:rPr>
          <w:t>подпунктом 17 пункта 2 статьи 149</w:t>
        </w:r>
      </w:hyperlink>
      <w:r w:rsidRPr="000A1B5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7F4219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Арендная плата по договору ежегодно, но не ранее чем через год после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заключения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договора аренды земельного участка, изменяется в одностороннем порядке Арендодателем на размер уровня инфляции, определенного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исходя из максимального уровня инфляции (потребительских цен), устанавливаемого в рамках </w:t>
      </w: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7C3BB3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Уведомление о перерасчете арендной платы со ссылкой на соответствующие нормативно-правовые акты  вместе с перерасчетом направляется Арендатору. </w:t>
      </w:r>
    </w:p>
    <w:p w:rsidR="000A1B5F" w:rsidRPr="000A1B5F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Новый размер арендной платы применяется в расчетах сторон с даты, указанной в данном нормативном правовом акте, при условии недопустимости увеличения размера арендной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платы ранее дня официального опубликования соответствующего нормативного правового акта органа государственной власти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2.3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2.4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исчисляется с «___» ______________</w:t>
      </w:r>
      <w:proofErr w:type="gramStart"/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proofErr w:type="gramEnd"/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___________ БИК </w:t>
      </w:r>
      <w:r w:rsidRPr="000A1B5F">
        <w:rPr>
          <w:rFonts w:ascii="Times New Roman" w:hAnsi="Times New Roman" w:cs="Times New Roman"/>
          <w:color w:val="000000"/>
          <w:sz w:val="26"/>
          <w:szCs w:val="26"/>
        </w:rPr>
        <w:t>013601205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>. 40102810545370000036. Код бюджетной классификации  90111105013050000120.</w:t>
      </w:r>
    </w:p>
    <w:p w:rsidR="000A1B5F" w:rsidRPr="000A1B5F" w:rsidRDefault="00976262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A1B5F" w:rsidRPr="000A1B5F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2.7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е использование Участка Арендатором не может служить основанием не  внесения арендной платы. 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использовании земельного участка ограничения (обременения) прав_________________.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АРЕНДОДАТЕЛЯ</w:t>
      </w:r>
    </w:p>
    <w:p w:rsidR="000A1B5F" w:rsidRPr="000A1B5F" w:rsidRDefault="000A1B5F" w:rsidP="00976262">
      <w:pPr>
        <w:numPr>
          <w:ilvl w:val="1"/>
          <w:numId w:val="5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Арендодатель имеет право: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в государственные органы, осуществляющие государственный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через суд выполнения Арендатором всех условий Договора. </w:t>
      </w:r>
    </w:p>
    <w:p w:rsidR="000A1B5F" w:rsidRPr="000A1B5F" w:rsidRDefault="000A1B5F" w:rsidP="00976262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обязан: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передать Арендатору земельный участок в состоянии, соответствующем условиям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оговоренных в Договоре;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CB7D45" w:rsidRPr="007F4219" w:rsidRDefault="000A1B5F" w:rsidP="00CB7D45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ПРАВА И ОБЯЗАННОСТИ АРЕНДАТОРА</w:t>
      </w:r>
    </w:p>
    <w:p w:rsidR="000A1B5F" w:rsidRPr="000A1B5F" w:rsidRDefault="000A1B5F" w:rsidP="000A1B5F">
      <w:pPr>
        <w:spacing w:line="240" w:lineRule="auto"/>
        <w:ind w:left="-709" w:right="21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Pr="000A1B5F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0A1B5F" w:rsidRPr="000A1B5F" w:rsidRDefault="000A1B5F" w:rsidP="000A1B5F">
      <w:pPr>
        <w:tabs>
          <w:tab w:val="left" w:pos="10206"/>
        </w:tabs>
        <w:spacing w:line="240" w:lineRule="auto"/>
        <w:ind w:left="-709" w:right="21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0A1B5F" w:rsidRPr="000A1B5F" w:rsidRDefault="000A1B5F" w:rsidP="008E5EC1">
      <w:pPr>
        <w:numPr>
          <w:ilvl w:val="1"/>
          <w:numId w:val="3"/>
        </w:numPr>
        <w:tabs>
          <w:tab w:val="clear" w:pos="1429"/>
          <w:tab w:val="num" w:pos="567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обеспечить освоение Участка в установленные Договором сроки;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использовать Участок в соответствии с целью и условиями предоставления;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своевременно в соответствии с Договором вносить арендную плату: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регулярно производить уборку Участка и прилегающей территории;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0A1B5F" w:rsidRPr="000A1B5F" w:rsidRDefault="000A1B5F" w:rsidP="000A1B5F">
      <w:pPr>
        <w:tabs>
          <w:tab w:val="left" w:pos="0"/>
          <w:tab w:val="left" w:pos="9900"/>
        </w:tabs>
        <w:spacing w:line="240" w:lineRule="auto"/>
        <w:ind w:left="-709" w:right="21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0A1B5F" w:rsidRPr="000A1B5F" w:rsidRDefault="000A1B5F" w:rsidP="000A1B5F">
      <w:pPr>
        <w:tabs>
          <w:tab w:val="left" w:pos="0"/>
        </w:tabs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уведомлять Арендодателя в течение 3 (трех) дней о начале работ на Участке третьими лицами;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устранить за свой счет улучшения, произведенные без согласия Арендодателя по его письменному требованию;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освободить Участок в течени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CB7D45" w:rsidRPr="00CB7D45" w:rsidRDefault="00CB7D45" w:rsidP="00CB7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6.   </w:t>
      </w:r>
      <w:r w:rsidR="000A1B5F" w:rsidRPr="00CB7D45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A1B5F" w:rsidRPr="00CB7D45" w:rsidRDefault="000A1B5F" w:rsidP="00CB7D4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D45">
        <w:rPr>
          <w:rFonts w:ascii="Times New Roman" w:hAnsi="Times New Roman" w:cs="Times New Roman"/>
          <w:b/>
          <w:sz w:val="26"/>
          <w:szCs w:val="26"/>
        </w:rPr>
        <w:t>6.1</w:t>
      </w:r>
      <w:r w:rsidRPr="00CB7D45">
        <w:rPr>
          <w:rFonts w:ascii="Times New Roman" w:hAnsi="Times New Roman" w:cs="Times New Roman"/>
          <w:sz w:val="26"/>
          <w:szCs w:val="26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>6.2</w:t>
      </w:r>
      <w:r w:rsidRPr="000A1B5F">
        <w:rPr>
          <w:rFonts w:ascii="Times New Roman" w:hAnsi="Times New Roman" w:cs="Times New Roman"/>
          <w:sz w:val="26"/>
          <w:szCs w:val="26"/>
        </w:rPr>
        <w:t>. За нарушение условий Договора Стороны несут ответственность в соответствии с действующим законодательс</w:t>
      </w:r>
      <w:r w:rsidR="000D4636">
        <w:rPr>
          <w:rFonts w:ascii="Times New Roman" w:hAnsi="Times New Roman" w:cs="Times New Roman"/>
          <w:sz w:val="26"/>
          <w:szCs w:val="26"/>
        </w:rPr>
        <w:t>т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вом Российской Федерации. </w:t>
      </w:r>
    </w:p>
    <w:p w:rsidR="000A1B5F" w:rsidRPr="000D4636" w:rsidRDefault="000A1B5F" w:rsidP="000D4636">
      <w:pPr>
        <w:pStyle w:val="a8"/>
        <w:numPr>
          <w:ilvl w:val="0"/>
          <w:numId w:val="7"/>
        </w:numPr>
        <w:jc w:val="center"/>
        <w:rPr>
          <w:sz w:val="26"/>
          <w:szCs w:val="26"/>
        </w:rPr>
      </w:pPr>
      <w:r w:rsidRPr="000D4636">
        <w:rPr>
          <w:b/>
          <w:sz w:val="26"/>
          <w:szCs w:val="26"/>
        </w:rPr>
        <w:t>ЭКСТРЕМАЛЬНЫЕ ОБСТОЯТЕЛЬСТВА</w:t>
      </w:r>
    </w:p>
    <w:p w:rsidR="000A1B5F" w:rsidRPr="000A1B5F" w:rsidRDefault="000A1B5F" w:rsidP="005541A0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E474DB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8.1.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Все споры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Договор разрешаются путем переговоров Сторон.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8.2.  </w:t>
      </w:r>
      <w:r w:rsidRPr="000A1B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0A1B5F">
        <w:rPr>
          <w:rFonts w:ascii="Times New Roman" w:eastAsia="Calibri" w:hAnsi="Times New Roman" w:cs="Times New Roman"/>
          <w:sz w:val="26"/>
          <w:szCs w:val="26"/>
        </w:rPr>
        <w:t>Большеглушицкого</w:t>
      </w:r>
      <w:proofErr w:type="spellEnd"/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 района Самарской области.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ИЗМЕНЕНИЕ И РАСТОРЖЕНИЕ ДОГОВОРА АРЕНДЫ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9.2.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расторгнут:</w:t>
      </w:r>
    </w:p>
    <w:p w:rsidR="005541A0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- по соглашению Сторон в порядке, предусмотренном законодательством.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9.3.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E157E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="00E474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474DB" w:rsidRPr="00E474DB">
        <w:rPr>
          <w:rFonts w:ascii="Times New Roman" w:hAnsi="Times New Roman" w:cs="Times New Roman"/>
          <w:b/>
          <w:sz w:val="26"/>
          <w:szCs w:val="26"/>
        </w:rPr>
        <w:t>10.</w:t>
      </w:r>
      <w:r w:rsidR="00E474DB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0A1B5F" w:rsidRPr="000A1B5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E474DB" w:rsidRPr="00E157EF" w:rsidRDefault="000A1B5F" w:rsidP="00E474DB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7EF">
        <w:rPr>
          <w:rFonts w:ascii="Times New Roman" w:hAnsi="Times New Roman" w:cs="Times New Roman"/>
          <w:b/>
          <w:sz w:val="26"/>
          <w:szCs w:val="26"/>
        </w:rPr>
        <w:t>ВСТУПЛЕНИЕ ДОГОВОРА В СИЛУ</w:t>
      </w:r>
      <w:bookmarkStart w:id="1" w:name="_GoBack"/>
      <w:bookmarkEnd w:id="1"/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11.1. </w:t>
      </w:r>
      <w:r w:rsidRPr="000A1B5F">
        <w:rPr>
          <w:rFonts w:ascii="Times New Roman" w:hAnsi="Times New Roman" w:cs="Times New Roman"/>
          <w:sz w:val="26"/>
          <w:szCs w:val="26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11.2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Если Арендатор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продолжает пользоваться имуществом после истечения срока Договора при отсутствии возражений со стороны Арендодателя Договор считается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продленным на неопределенный срок.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11.3. </w:t>
      </w:r>
      <w:r w:rsidRPr="000A1B5F">
        <w:rPr>
          <w:rFonts w:ascii="Times New Roman" w:hAnsi="Times New Roman" w:cs="Times New Roman"/>
          <w:sz w:val="26"/>
          <w:szCs w:val="26"/>
        </w:rPr>
        <w:t>Договор составлен в двух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11.4.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Право аренды прекращается со дня аннулирования государственной регистрации Договора. </w:t>
      </w: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Неотъемлемой частью договора являются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Приложение:       1. Акт приема-передачи.</w:t>
      </w:r>
    </w:p>
    <w:p w:rsidR="000A1B5F" w:rsidRPr="000A1B5F" w:rsidRDefault="00CB7D45" w:rsidP="00CB7D45">
      <w:pPr>
        <w:tabs>
          <w:tab w:val="left" w:pos="3030"/>
          <w:tab w:val="center" w:pos="3544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13. </w:t>
      </w:r>
      <w:r w:rsidR="000A1B5F" w:rsidRPr="000A1B5F">
        <w:rPr>
          <w:rFonts w:ascii="Times New Roman" w:hAnsi="Times New Roman" w:cs="Times New Roman"/>
          <w:b/>
          <w:caps/>
          <w:sz w:val="26"/>
          <w:szCs w:val="26"/>
        </w:rPr>
        <w:t>Подписи сторон</w:t>
      </w:r>
    </w:p>
    <w:p w:rsidR="000A1B5F" w:rsidRPr="000A1B5F" w:rsidRDefault="000A1B5F" w:rsidP="000A1B5F">
      <w:pPr>
        <w:tabs>
          <w:tab w:val="left" w:pos="3030"/>
          <w:tab w:val="center" w:pos="3544"/>
        </w:tabs>
        <w:spacing w:line="240" w:lineRule="auto"/>
        <w:ind w:left="-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«АРЕНДОДАТЕЛЬ»                                             «Арендатор»</w:t>
      </w:r>
      <w:r w:rsidRPr="000A1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  <w:b/>
        </w:rPr>
        <w:t xml:space="preserve">Администрация муниципального района               </w:t>
      </w:r>
      <w:r w:rsidR="00477EE4">
        <w:rPr>
          <w:rFonts w:ascii="Times New Roman" w:hAnsi="Times New Roman" w:cs="Times New Roman"/>
          <w:b/>
        </w:rPr>
        <w:t xml:space="preserve">                </w:t>
      </w:r>
      <w:r w:rsidRPr="005541A0">
        <w:rPr>
          <w:rFonts w:ascii="Times New Roman" w:hAnsi="Times New Roman" w:cs="Times New Roman"/>
          <w:b/>
        </w:rPr>
        <w:t xml:space="preserve"> ХХХ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  <w:b/>
        </w:rPr>
        <w:t>Большеглушицкий Самарской области</w:t>
      </w:r>
      <w:r w:rsidRPr="005541A0">
        <w:rPr>
          <w:rFonts w:ascii="Times New Roman" w:hAnsi="Times New Roman" w:cs="Times New Roman"/>
        </w:rPr>
        <w:t xml:space="preserve">                </w:t>
      </w:r>
      <w:r w:rsidR="00477EE4">
        <w:rPr>
          <w:rFonts w:ascii="Times New Roman" w:hAnsi="Times New Roman" w:cs="Times New Roman"/>
        </w:rPr>
        <w:t xml:space="preserve">                </w:t>
      </w:r>
      <w:r w:rsidRPr="005541A0">
        <w:rPr>
          <w:rFonts w:ascii="Times New Roman" w:hAnsi="Times New Roman" w:cs="Times New Roman"/>
        </w:rPr>
        <w:t xml:space="preserve">   ХХХ</w:t>
      </w:r>
      <w:r w:rsidRPr="005541A0">
        <w:rPr>
          <w:rFonts w:ascii="Times New Roman" w:hAnsi="Times New Roman" w:cs="Times New Roman"/>
          <w:b/>
        </w:rPr>
        <w:t xml:space="preserve"> </w:t>
      </w:r>
      <w:r w:rsidRPr="005541A0">
        <w:rPr>
          <w:rFonts w:ascii="Times New Roman" w:hAnsi="Times New Roman" w:cs="Times New Roman"/>
        </w:rPr>
        <w:t xml:space="preserve">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 xml:space="preserve">ИНН 6364000569  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Юр. адрес: 446180, РФ, Самарская область,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Большеглушицкий район, </w:t>
      </w:r>
      <w:proofErr w:type="gramStart"/>
      <w:r w:rsidRPr="005541A0">
        <w:rPr>
          <w:rFonts w:ascii="Times New Roman" w:hAnsi="Times New Roman" w:cs="Times New Roman"/>
        </w:rPr>
        <w:t>с</w:t>
      </w:r>
      <w:proofErr w:type="gramEnd"/>
      <w:r w:rsidRPr="005541A0">
        <w:rPr>
          <w:rFonts w:ascii="Times New Roman" w:hAnsi="Times New Roman" w:cs="Times New Roman"/>
        </w:rPr>
        <w:t xml:space="preserve">. Большая Глушица,          </w:t>
      </w:r>
      <w:r w:rsidR="00477EE4">
        <w:rPr>
          <w:rFonts w:ascii="Times New Roman" w:hAnsi="Times New Roman" w:cs="Times New Roman"/>
        </w:rPr>
        <w:t xml:space="preserve">               </w:t>
      </w:r>
      <w:r w:rsidRPr="005541A0">
        <w:rPr>
          <w:rFonts w:ascii="Times New Roman" w:hAnsi="Times New Roman" w:cs="Times New Roman"/>
        </w:rPr>
        <w:t xml:space="preserve"> ____________________________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ул. Гагарина, д. 91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УФК по Самарской области                                           </w:t>
      </w:r>
    </w:p>
    <w:p w:rsidR="000A1B5F" w:rsidRPr="005541A0" w:rsidRDefault="000A1B5F" w:rsidP="00CB7D45">
      <w:pPr>
        <w:tabs>
          <w:tab w:val="left" w:pos="5490"/>
          <w:tab w:val="left" w:pos="5625"/>
        </w:tabs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>(Администрация муниципального района</w:t>
      </w:r>
      <w:r w:rsidRPr="005541A0">
        <w:rPr>
          <w:rFonts w:ascii="Times New Roman" w:hAnsi="Times New Roman" w:cs="Times New Roman"/>
        </w:rPr>
        <w:tab/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 xml:space="preserve">Большеглушицкий)                                                           </w:t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Расчетный счет </w:t>
      </w:r>
      <w:r w:rsidRPr="005541A0">
        <w:rPr>
          <w:rFonts w:ascii="Times New Roman" w:hAnsi="Times New Roman" w:cs="Times New Roman"/>
          <w:sz w:val="26"/>
          <w:szCs w:val="26"/>
        </w:rPr>
        <w:t>40101810200000010001</w:t>
      </w:r>
      <w:r w:rsidRPr="005541A0">
        <w:rPr>
          <w:rFonts w:ascii="Times New Roman" w:hAnsi="Times New Roman" w:cs="Times New Roman"/>
        </w:rPr>
        <w:t xml:space="preserve">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>Телефон контакта 8 (84673) 2-31-59</w:t>
      </w:r>
      <w:r w:rsidRPr="005541A0">
        <w:rPr>
          <w:rFonts w:ascii="Times New Roman" w:hAnsi="Times New Roman" w:cs="Times New Roman"/>
          <w:b/>
        </w:rPr>
        <w:t xml:space="preserve">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в лице  главы района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5541A0">
        <w:rPr>
          <w:rFonts w:ascii="Times New Roman" w:hAnsi="Times New Roman" w:cs="Times New Roman"/>
          <w:b/>
        </w:rPr>
        <w:t>Анцинова</w:t>
      </w:r>
      <w:proofErr w:type="spellEnd"/>
      <w:r w:rsidRPr="005541A0">
        <w:rPr>
          <w:rFonts w:ascii="Times New Roman" w:hAnsi="Times New Roman" w:cs="Times New Roman"/>
          <w:b/>
        </w:rPr>
        <w:t xml:space="preserve"> Валерия Анатольевича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                          </w:t>
      </w:r>
    </w:p>
    <w:p w:rsidR="000A1B5F" w:rsidRDefault="000A1B5F" w:rsidP="000A1B5F">
      <w:pPr>
        <w:ind w:left="-709" w:firstLine="709"/>
        <w:jc w:val="center"/>
        <w:rPr>
          <w:b/>
        </w:rPr>
      </w:pPr>
    </w:p>
    <w:p w:rsidR="000A1B5F" w:rsidRDefault="000A1B5F" w:rsidP="000A1B5F">
      <w:pPr>
        <w:ind w:left="-709" w:firstLine="709"/>
        <w:jc w:val="center"/>
        <w:rPr>
          <w:b/>
        </w:rPr>
      </w:pPr>
    </w:p>
    <w:p w:rsidR="00653C06" w:rsidRPr="00B8790F" w:rsidRDefault="00653C06" w:rsidP="000A1B5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 w:rsidP="000A1B5F">
      <w:pPr>
        <w:ind w:left="-709"/>
        <w:rPr>
          <w:sz w:val="25"/>
          <w:szCs w:val="25"/>
        </w:rPr>
      </w:pPr>
    </w:p>
    <w:sectPr w:rsidR="00427039" w:rsidRPr="00F70522" w:rsidSect="00CB7D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E2" w:rsidRDefault="00562EE2" w:rsidP="00CB7D45">
      <w:pPr>
        <w:spacing w:after="0" w:line="240" w:lineRule="auto"/>
      </w:pPr>
      <w:r>
        <w:separator/>
      </w:r>
    </w:p>
  </w:endnote>
  <w:endnote w:type="continuationSeparator" w:id="0">
    <w:p w:rsidR="00562EE2" w:rsidRDefault="00562EE2" w:rsidP="00CB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E2" w:rsidRDefault="00562EE2" w:rsidP="00CB7D45">
      <w:pPr>
        <w:spacing w:after="0" w:line="240" w:lineRule="auto"/>
      </w:pPr>
      <w:r>
        <w:separator/>
      </w:r>
    </w:p>
  </w:footnote>
  <w:footnote w:type="continuationSeparator" w:id="0">
    <w:p w:rsidR="00562EE2" w:rsidRDefault="00562EE2" w:rsidP="00CB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6EF"/>
    <w:multiLevelType w:val="hybridMultilevel"/>
    <w:tmpl w:val="2550F134"/>
    <w:lvl w:ilvl="0" w:tplc="1870DD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4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1B5F"/>
    <w:rsid w:val="000A34EA"/>
    <w:rsid w:val="000A7957"/>
    <w:rsid w:val="000B341D"/>
    <w:rsid w:val="000B4798"/>
    <w:rsid w:val="000D31D0"/>
    <w:rsid w:val="000D4636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A7D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156F9"/>
    <w:rsid w:val="00427039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62EE2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3BB3"/>
    <w:rsid w:val="007C6414"/>
    <w:rsid w:val="007E0C4B"/>
    <w:rsid w:val="007F163D"/>
    <w:rsid w:val="007F4219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D4C07"/>
    <w:rsid w:val="008D4F88"/>
    <w:rsid w:val="008E31F7"/>
    <w:rsid w:val="008E5EC1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B7E01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B7D45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57EF"/>
    <w:rsid w:val="00E16FAE"/>
    <w:rsid w:val="00E25EBA"/>
    <w:rsid w:val="00E37529"/>
    <w:rsid w:val="00E474DB"/>
    <w:rsid w:val="00E51BD7"/>
    <w:rsid w:val="00E54F74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0DFC"/>
    <w:rsid w:val="00F52B63"/>
    <w:rsid w:val="00F562B1"/>
    <w:rsid w:val="00F657E9"/>
    <w:rsid w:val="00F70522"/>
    <w:rsid w:val="00FA1187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ogilivaVN@admbg.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6" Type="http://schemas.openxmlformats.org/officeDocument/2006/relationships/hyperlink" Target="consultantplus://offline/ref=B94AD45A1F7C2ED13CC0A0E080E7F5143185F44B0683F4EBD5FC8878E1D1F7C8CBA32D8E520219I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5" Type="http://schemas.openxmlformats.org/officeDocument/2006/relationships/hyperlink" Target="http://www.admbg.org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hyperlink" Target="https://torgi.gov.ru/ne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4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3" Type="http://schemas.openxmlformats.org/officeDocument/2006/relationships/hyperlink" Target="https://torgi.gov.ru/new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2" Type="http://schemas.openxmlformats.org/officeDocument/2006/relationships/hyperlink" Target="http://www.admbg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25</cp:revision>
  <cp:lastPrinted>2023-08-25T05:52:00Z</cp:lastPrinted>
  <dcterms:created xsi:type="dcterms:W3CDTF">2023-08-25T07:54:00Z</dcterms:created>
  <dcterms:modified xsi:type="dcterms:W3CDTF">2024-03-13T09:38:00Z</dcterms:modified>
</cp:coreProperties>
</file>